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09" w:rsidRDefault="008B6ADC" w:rsidP="00A70C09">
      <w:pPr>
        <w:wordWrap/>
        <w:snapToGri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ICRSTDM</w:t>
      </w:r>
      <w:r>
        <w:rPr>
          <w:rFonts w:ascii="Times New Roman" w:hint="eastAsia"/>
          <w:b/>
          <w:sz w:val="28"/>
          <w:szCs w:val="28"/>
        </w:rPr>
        <w:t xml:space="preserve"> 201</w:t>
      </w:r>
      <w:r>
        <w:rPr>
          <w:rFonts w:ascii="Times New Roman"/>
          <w:b/>
          <w:sz w:val="28"/>
          <w:szCs w:val="28"/>
        </w:rPr>
        <w:t>8</w:t>
      </w:r>
      <w:r w:rsidR="00D96727">
        <w:rPr>
          <w:rFonts w:ascii="Times New Roman"/>
          <w:b/>
          <w:sz w:val="28"/>
          <w:szCs w:val="28"/>
        </w:rPr>
        <w:t xml:space="preserve"> Will Be Held </w:t>
      </w:r>
      <w:r w:rsidR="00D96727">
        <w:rPr>
          <w:rFonts w:ascii="Times New Roman" w:hint="eastAsia"/>
          <w:b/>
          <w:sz w:val="28"/>
          <w:szCs w:val="28"/>
        </w:rPr>
        <w:t>i</w:t>
      </w:r>
      <w:r w:rsidR="00D96727">
        <w:rPr>
          <w:rFonts w:ascii="Times New Roman"/>
          <w:b/>
          <w:sz w:val="28"/>
          <w:szCs w:val="28"/>
        </w:rPr>
        <w:t xml:space="preserve">n </w:t>
      </w:r>
      <w:r>
        <w:rPr>
          <w:rFonts w:ascii="Times New Roman"/>
          <w:b/>
          <w:sz w:val="28"/>
          <w:szCs w:val="28"/>
        </w:rPr>
        <w:t>UET</w:t>
      </w:r>
      <w:r w:rsidR="00D96727">
        <w:rPr>
          <w:rFonts w:ascii="Times New Roman"/>
          <w:b/>
          <w:sz w:val="28"/>
          <w:szCs w:val="28"/>
        </w:rPr>
        <w:t xml:space="preserve">, </w:t>
      </w:r>
      <w:r>
        <w:rPr>
          <w:rFonts w:ascii="Times New Roman"/>
          <w:b/>
          <w:sz w:val="28"/>
          <w:szCs w:val="28"/>
        </w:rPr>
        <w:t>Taxila, Pakistan</w:t>
      </w:r>
    </w:p>
    <w:p w:rsidR="00A70C09" w:rsidRDefault="00A70C09" w:rsidP="00A70C09">
      <w:pPr>
        <w:wordWrap/>
        <w:snapToGrid w:val="0"/>
        <w:jc w:val="center"/>
        <w:rPr>
          <w:rFonts w:ascii="Times New Roman" w:eastAsia="1UAAA?"/>
          <w:b/>
          <w:bCs/>
          <w:sz w:val="24"/>
        </w:rPr>
      </w:pPr>
    </w:p>
    <w:p w:rsidR="00A70C09" w:rsidRDefault="008B6ADC" w:rsidP="00A70C09">
      <w:pPr>
        <w:wordWrap/>
        <w:snapToGrid w:val="0"/>
        <w:jc w:val="center"/>
        <w:rPr>
          <w:rFonts w:ascii="Times New Roman" w:eastAsia="1UAAA?"/>
          <w:b/>
          <w:bCs/>
          <w:sz w:val="24"/>
        </w:rPr>
      </w:pPr>
      <w:r>
        <w:rPr>
          <w:rFonts w:ascii="Times New Roman" w:eastAsia="Gulim"/>
          <w:color w:val="000000"/>
          <w:sz w:val="24"/>
          <w:u w:val="single"/>
        </w:rPr>
        <w:t>M.S. Mehmood</w:t>
      </w:r>
      <w:r w:rsidR="00B83D8D">
        <w:rPr>
          <w:rFonts w:ascii="Times New Roman" w:eastAsia="Gulim" w:hint="eastAsia"/>
          <w:color w:val="000000"/>
          <w:sz w:val="24"/>
        </w:rPr>
        <w:t>,</w:t>
      </w:r>
      <w:r w:rsidR="00A70C09">
        <w:rPr>
          <w:rFonts w:ascii="Times New Roman" w:eastAsia="Gulim" w:hint="eastAsia"/>
          <w:color w:val="000000"/>
          <w:sz w:val="24"/>
          <w:vertAlign w:val="superscript"/>
        </w:rPr>
        <w:t>1</w:t>
      </w:r>
      <w:r w:rsidR="00A70C09" w:rsidRPr="00FC1999">
        <w:rPr>
          <w:rFonts w:ascii="Times New Roman" w:eastAsia="Gulim" w:hint="eastAsia"/>
          <w:color w:val="000000"/>
          <w:sz w:val="24"/>
          <w:vertAlign w:val="superscript"/>
        </w:rPr>
        <w:t>*</w:t>
      </w:r>
    </w:p>
    <w:p w:rsidR="00A70C09" w:rsidRDefault="00A70C09" w:rsidP="00A70C09">
      <w:pPr>
        <w:wordWrap/>
        <w:snapToGrid w:val="0"/>
        <w:jc w:val="center"/>
        <w:rPr>
          <w:rFonts w:ascii="Times New Roman" w:eastAsia="MS Mincho"/>
          <w:i/>
          <w:iCs/>
          <w:color w:val="000000"/>
          <w:sz w:val="24"/>
          <w:vertAlign w:val="superscript"/>
          <w:lang w:eastAsia="ja-JP"/>
        </w:rPr>
      </w:pPr>
    </w:p>
    <w:p w:rsidR="00A70C09" w:rsidRDefault="00A70C09" w:rsidP="00A70C09">
      <w:pPr>
        <w:wordWrap/>
        <w:snapToGrid w:val="0"/>
        <w:ind w:left="400"/>
        <w:jc w:val="center"/>
        <w:rPr>
          <w:rFonts w:ascii="Times New Roman" w:eastAsia="Gulim"/>
          <w:bCs/>
          <w:color w:val="000000"/>
          <w:sz w:val="22"/>
        </w:rPr>
      </w:pPr>
      <w:r>
        <w:rPr>
          <w:rFonts w:ascii="Times New Roman" w:eastAsia="Gulim" w:hint="eastAsia"/>
          <w:bCs/>
          <w:color w:val="000000"/>
          <w:sz w:val="22"/>
          <w:vertAlign w:val="superscript"/>
        </w:rPr>
        <w:t>1</w:t>
      </w:r>
      <w:r w:rsidR="00B83D8D">
        <w:rPr>
          <w:rFonts w:ascii="Times New Roman" w:eastAsia="Gulim" w:hint="eastAsia"/>
          <w:bCs/>
          <w:color w:val="000000"/>
          <w:sz w:val="22"/>
        </w:rPr>
        <w:t xml:space="preserve">Department of </w:t>
      </w:r>
      <w:r w:rsidR="008B6ADC">
        <w:rPr>
          <w:rFonts w:ascii="Times New Roman" w:eastAsia="Gulim"/>
          <w:bCs/>
          <w:color w:val="000000"/>
          <w:sz w:val="22"/>
        </w:rPr>
        <w:t>Basic Sceicnes</w:t>
      </w:r>
      <w:r>
        <w:rPr>
          <w:rFonts w:ascii="Times New Roman" w:eastAsia="Gulim" w:hint="eastAsia"/>
          <w:bCs/>
          <w:color w:val="000000"/>
          <w:sz w:val="22"/>
        </w:rPr>
        <w:t xml:space="preserve">, </w:t>
      </w:r>
      <w:r w:rsidR="008B6ADC">
        <w:rPr>
          <w:rFonts w:ascii="Times New Roman" w:eastAsia="Gulim"/>
          <w:bCs/>
          <w:color w:val="000000"/>
          <w:sz w:val="22"/>
        </w:rPr>
        <w:t>University of Engineering and Technology</w:t>
      </w:r>
      <w:r>
        <w:rPr>
          <w:rFonts w:ascii="Times New Roman" w:eastAsia="Gulim" w:hint="eastAsia"/>
          <w:bCs/>
          <w:color w:val="000000"/>
          <w:sz w:val="22"/>
        </w:rPr>
        <w:t xml:space="preserve">, </w:t>
      </w:r>
      <w:r w:rsidR="008B6ADC">
        <w:rPr>
          <w:rFonts w:ascii="Times New Roman" w:eastAsia="Gulim"/>
          <w:bCs/>
          <w:color w:val="000000"/>
          <w:sz w:val="22"/>
        </w:rPr>
        <w:t>47050</w:t>
      </w:r>
      <w:r w:rsidR="008B6ADC">
        <w:rPr>
          <w:rFonts w:ascii="Times New Roman" w:eastAsia="Gulim" w:hint="eastAsia"/>
          <w:bCs/>
          <w:color w:val="000000"/>
          <w:sz w:val="22"/>
        </w:rPr>
        <w:t xml:space="preserve">, </w:t>
      </w:r>
      <w:r w:rsidR="008B6ADC">
        <w:rPr>
          <w:rFonts w:ascii="Times New Roman" w:eastAsia="Gulim"/>
          <w:bCs/>
          <w:color w:val="000000"/>
          <w:sz w:val="22"/>
        </w:rPr>
        <w:t>Taxila, Pakistan</w:t>
      </w:r>
    </w:p>
    <w:p w:rsidR="00FC1999" w:rsidRPr="00FE1209" w:rsidRDefault="00675B8D" w:rsidP="00FC1999">
      <w:pPr>
        <w:wordWrap/>
        <w:snapToGrid w:val="0"/>
        <w:ind w:left="400"/>
        <w:jc w:val="center"/>
        <w:rPr>
          <w:rFonts w:ascii="Times New Roman"/>
          <w:sz w:val="22"/>
        </w:rPr>
      </w:pPr>
      <w:hyperlink r:id="rId6" w:history="1">
        <w:r w:rsidR="00FC1999" w:rsidRPr="00B041E7">
          <w:rPr>
            <w:rStyle w:val="Hyperlink"/>
            <w:rFonts w:ascii="Times New Roman" w:hint="eastAsia"/>
            <w:sz w:val="22"/>
            <w:vertAlign w:val="superscript"/>
          </w:rPr>
          <w:t>1</w:t>
        </w:r>
        <w:r w:rsidR="00FC1999" w:rsidRPr="00B041E7">
          <w:rPr>
            <w:rStyle w:val="Hyperlink"/>
            <w:rFonts w:ascii="Times New Roman" w:eastAsia="Gulim" w:hint="eastAsia"/>
            <w:sz w:val="24"/>
          </w:rPr>
          <w:t>presenter@emailaddress.com</w:t>
        </w:r>
      </w:hyperlink>
    </w:p>
    <w:p w:rsidR="00A005B7" w:rsidRPr="00FE1209" w:rsidRDefault="00A005B7" w:rsidP="00A005B7">
      <w:pPr>
        <w:wordWrap/>
        <w:snapToGrid w:val="0"/>
        <w:ind w:left="400"/>
        <w:jc w:val="center"/>
        <w:rPr>
          <w:rFonts w:ascii="Times New Roman"/>
          <w:sz w:val="22"/>
        </w:rPr>
      </w:pPr>
      <w:r w:rsidRPr="003C507B">
        <w:rPr>
          <w:rFonts w:ascii="Times New Roman" w:hint="eastAsia"/>
          <w:color w:val="0000FF"/>
          <w:sz w:val="22"/>
          <w:vertAlign w:val="superscript"/>
        </w:rPr>
        <w:t>*</w:t>
      </w:r>
      <w:hyperlink r:id="rId7" w:history="1">
        <w:r w:rsidR="007A39C5" w:rsidRPr="0093249D">
          <w:rPr>
            <w:rStyle w:val="Hyperlink"/>
            <w:rFonts w:ascii="Times New Roman" w:eastAsia="Gulim" w:hint="eastAsia"/>
            <w:sz w:val="24"/>
          </w:rPr>
          <w:t>corresponding-author</w:t>
        </w:r>
        <w:r w:rsidR="007A39C5" w:rsidRPr="0093249D">
          <w:rPr>
            <w:rStyle w:val="Hyperlink"/>
            <w:rFonts w:ascii="Times New Roman" w:hint="eastAsia"/>
            <w:sz w:val="22"/>
          </w:rPr>
          <w:t>@</w:t>
        </w:r>
        <w:r w:rsidR="007A39C5" w:rsidRPr="0093249D">
          <w:rPr>
            <w:rStyle w:val="Hyperlink"/>
            <w:rFonts w:ascii="Times New Roman" w:eastAsia="Gulim" w:hint="eastAsia"/>
            <w:sz w:val="24"/>
          </w:rPr>
          <w:t>emailaddress.com</w:t>
        </w:r>
      </w:hyperlink>
    </w:p>
    <w:p w:rsidR="00A70C09" w:rsidRPr="00FE1209" w:rsidRDefault="00A70C09" w:rsidP="008B6ADC">
      <w:pPr>
        <w:wordWrap/>
        <w:snapToGrid w:val="0"/>
        <w:spacing w:line="120" w:lineRule="auto"/>
        <w:ind w:left="400"/>
        <w:jc w:val="center"/>
        <w:rPr>
          <w:rFonts w:ascii="Times New Roman"/>
          <w:sz w:val="22"/>
        </w:rPr>
      </w:pPr>
    </w:p>
    <w:p w:rsidR="008B6ADC" w:rsidRPr="003727C5" w:rsidRDefault="008B6ADC" w:rsidP="008B6ADC">
      <w:pPr>
        <w:pStyle w:val="msotitle3"/>
        <w:widowControl w:val="0"/>
        <w:spacing w:line="120" w:lineRule="auto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727C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It is a great honor and pleasure to host the </w:t>
      </w:r>
      <w:r w:rsidRPr="003727C5">
        <w:rPr>
          <w:rFonts w:ascii="Times New Roman" w:hAnsi="Times New Roman"/>
          <w:bCs w:val="0"/>
          <w:color w:val="CC0099"/>
          <w:kern w:val="0"/>
          <w:sz w:val="24"/>
          <w:szCs w:val="24"/>
        </w:rPr>
        <w:t>International Conference on Recent Development in Science, Technology &amp; Management (ICRDSTM-2018)</w:t>
      </w:r>
      <w:r w:rsidRPr="003727C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from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April 19-21</w:t>
      </w:r>
      <w:r w:rsidRPr="003727C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, 2018 at University of Engineering and Technology, UET, 47050, Taxila, Pakistan with a theme of enhancing effective Engineers-Scientist research collaborations  by promoting interdisciplinary research activities among them. </w:t>
      </w:r>
    </w:p>
    <w:p w:rsidR="008B6ADC" w:rsidRPr="003727C5" w:rsidRDefault="008B6ADC" w:rsidP="008B6ADC">
      <w:pPr>
        <w:pStyle w:val="NormalWeb"/>
        <w:shd w:val="clear" w:color="auto" w:fill="FFFFFF"/>
        <w:spacing w:before="0" w:beforeAutospacing="0" w:after="383" w:afterAutospacing="0" w:line="120" w:lineRule="auto"/>
        <w:jc w:val="both"/>
        <w:rPr>
          <w:color w:val="000000"/>
        </w:rPr>
      </w:pPr>
      <w:r w:rsidRPr="003727C5">
        <w:rPr>
          <w:color w:val="000000"/>
        </w:rPr>
        <w:t>The congress will be held in Taxila, t</w:t>
      </w:r>
      <w:r w:rsidRPr="003727C5">
        <w:t xml:space="preserve">he centre of </w:t>
      </w:r>
      <w:r w:rsidRPr="003727C5">
        <w:rPr>
          <w:b/>
          <w:color w:val="CC0099"/>
          <w:u w:val="single"/>
        </w:rPr>
        <w:t>Gandhara civilization</w:t>
      </w:r>
      <w:r w:rsidRPr="003727C5">
        <w:t xml:space="preserve">. Taxila was not only the centre of spiritual influence but also the cradle of the world famous Gandhara culture, art and learning. It was from these centers that a unique art of sculpture originated which is known as Gandhara Art all over the world. Today the Gandhara sculptures occupy a prominent place in the museums of England, France, Germany, USA, Japan, Korea, China, India and Afghanistan, to-gether with many private collections world over, as well as a vast collection in the museums of Pakistan. Buddhism left a monumental and rich legacy of art and architecture in Pakistan. Despite the vagaries of centuries, the Gandhara region preserved a lot of the heritage in craft and art. Much of this legacy is visible even today in Pakistan. </w:t>
      </w:r>
      <w:r w:rsidRPr="003727C5">
        <w:rPr>
          <w:color w:val="000000"/>
        </w:rPr>
        <w:t>I believe that all the participants can enjoy the site seeing of old Gandhara civilization and beautiful natural sceneries of Taxila as well as the scientific programs by attending ICRDSTM-2018 Conference.</w:t>
      </w:r>
    </w:p>
    <w:p w:rsidR="00A70C09" w:rsidRDefault="00A70C09" w:rsidP="00A70C09">
      <w:pPr>
        <w:wordWrap/>
        <w:snapToGrid w:val="0"/>
        <w:rPr>
          <w:rFonts w:ascii="Times New Roman" w:eastAsia="Gulim"/>
          <w:color w:val="000000"/>
          <w:sz w:val="24"/>
        </w:rPr>
      </w:pPr>
    </w:p>
    <w:p w:rsidR="00B62EC7" w:rsidRPr="00B62EC7" w:rsidRDefault="00B62EC7" w:rsidP="00A70C09">
      <w:pPr>
        <w:wordWrap/>
        <w:snapToGrid w:val="0"/>
        <w:rPr>
          <w:rFonts w:ascii="Times New Roman" w:eastAsia="Gulim"/>
          <w:color w:val="000000"/>
          <w:sz w:val="24"/>
        </w:rPr>
      </w:pPr>
    </w:p>
    <w:p w:rsidR="00A70C09" w:rsidRDefault="00A70C09" w:rsidP="00A70C09">
      <w:pPr>
        <w:pStyle w:val="PreprintHeading"/>
        <w:snapToGrid w:val="0"/>
        <w:rPr>
          <w:sz w:val="22"/>
          <w:lang w:eastAsia="ko-KR"/>
        </w:rPr>
      </w:pPr>
      <w:r>
        <w:rPr>
          <w:sz w:val="22"/>
        </w:rPr>
        <w:t>References</w:t>
      </w:r>
    </w:p>
    <w:p w:rsidR="00A70C09" w:rsidRDefault="008B6ADC" w:rsidP="00B62EC7">
      <w:pPr>
        <w:adjustRightInd w:val="0"/>
        <w:snapToGrid w:val="0"/>
        <w:spacing w:line="240" w:lineRule="atLeast"/>
        <w:ind w:left="330" w:hangingChars="150" w:hanging="330"/>
        <w:rPr>
          <w:rFonts w:ascii="Times New Roman"/>
          <w:bCs/>
          <w:kern w:val="0"/>
          <w:sz w:val="22"/>
          <w:szCs w:val="22"/>
        </w:rPr>
      </w:pPr>
      <w:r>
        <w:rPr>
          <w:rFonts w:ascii="Times New Roman"/>
          <w:sz w:val="22"/>
          <w:szCs w:val="22"/>
        </w:rPr>
        <w:t>1. M.S. Mehmood</w:t>
      </w:r>
      <w:r w:rsidR="00A70C09">
        <w:rPr>
          <w:rFonts w:ascii="Times New Roman"/>
          <w:sz w:val="22"/>
          <w:szCs w:val="22"/>
        </w:rPr>
        <w:t xml:space="preserve">, </w:t>
      </w:r>
      <w:r>
        <w:rPr>
          <w:rFonts w:ascii="Times New Roman"/>
          <w:sz w:val="22"/>
          <w:szCs w:val="22"/>
        </w:rPr>
        <w:t>et al.</w:t>
      </w:r>
      <w:r w:rsidR="00A70C09">
        <w:rPr>
          <w:rFonts w:ascii="Times New Roman"/>
          <w:bCs/>
          <w:kern w:val="0"/>
          <w:sz w:val="22"/>
          <w:szCs w:val="22"/>
        </w:rPr>
        <w:t xml:space="preserve">, </w:t>
      </w:r>
      <w:r w:rsidR="00A70C09">
        <w:rPr>
          <w:rFonts w:ascii="Times New Roman"/>
          <w:bCs/>
          <w:i/>
          <w:kern w:val="0"/>
          <w:sz w:val="22"/>
          <w:szCs w:val="22"/>
        </w:rPr>
        <w:t>Nanotechnology</w:t>
      </w:r>
      <w:r w:rsidR="00A70C09">
        <w:rPr>
          <w:rFonts w:ascii="Times New Roman"/>
          <w:bCs/>
          <w:kern w:val="0"/>
          <w:sz w:val="22"/>
          <w:szCs w:val="22"/>
        </w:rPr>
        <w:t xml:space="preserve">, </w:t>
      </w:r>
      <w:r w:rsidR="00A70C09">
        <w:rPr>
          <w:rFonts w:ascii="Times New Roman"/>
          <w:b/>
          <w:bCs/>
          <w:kern w:val="0"/>
          <w:sz w:val="22"/>
          <w:szCs w:val="22"/>
        </w:rPr>
        <w:t>15</w:t>
      </w:r>
      <w:r w:rsidR="00A70C09">
        <w:rPr>
          <w:rFonts w:ascii="Times New Roman"/>
          <w:bCs/>
          <w:kern w:val="0"/>
          <w:sz w:val="22"/>
          <w:szCs w:val="22"/>
        </w:rPr>
        <w:t>, 1861 (20</w:t>
      </w:r>
      <w:r w:rsidR="00BB64F4">
        <w:rPr>
          <w:rFonts w:ascii="Times New Roman" w:hint="eastAsia"/>
          <w:bCs/>
          <w:kern w:val="0"/>
          <w:sz w:val="22"/>
          <w:szCs w:val="22"/>
        </w:rPr>
        <w:t>11</w:t>
      </w:r>
      <w:r>
        <w:rPr>
          <w:rFonts w:ascii="Times New Roman"/>
          <w:bCs/>
          <w:kern w:val="0"/>
          <w:sz w:val="22"/>
          <w:szCs w:val="22"/>
        </w:rPr>
        <w:t>)</w:t>
      </w:r>
    </w:p>
    <w:p w:rsidR="00BB64F4" w:rsidRDefault="00BB64F4" w:rsidP="00B62EC7">
      <w:pPr>
        <w:ind w:left="330" w:hangingChars="150" w:hanging="330"/>
        <w:rPr>
          <w:rFonts w:ascii="Times New Roman"/>
          <w:sz w:val="22"/>
          <w:szCs w:val="22"/>
        </w:rPr>
      </w:pPr>
    </w:p>
    <w:sectPr w:rsidR="00BB64F4" w:rsidSect="00B83D8D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1B" w:rsidRDefault="00C8081B" w:rsidP="00017496">
      <w:r>
        <w:separator/>
      </w:r>
    </w:p>
  </w:endnote>
  <w:endnote w:type="continuationSeparator" w:id="1">
    <w:p w:rsidR="00C8081B" w:rsidRDefault="00C8081B" w:rsidP="0001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1UAAA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1B" w:rsidRDefault="00C8081B" w:rsidP="00017496">
      <w:r>
        <w:separator/>
      </w:r>
    </w:p>
  </w:footnote>
  <w:footnote w:type="continuationSeparator" w:id="1">
    <w:p w:rsidR="00C8081B" w:rsidRDefault="00C8081B" w:rsidP="00017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09"/>
    <w:rsid w:val="0000351A"/>
    <w:rsid w:val="00017496"/>
    <w:rsid w:val="001F6FD7"/>
    <w:rsid w:val="003A75FA"/>
    <w:rsid w:val="003C507B"/>
    <w:rsid w:val="0044753A"/>
    <w:rsid w:val="004C4147"/>
    <w:rsid w:val="004E71E7"/>
    <w:rsid w:val="00675B8D"/>
    <w:rsid w:val="006C5536"/>
    <w:rsid w:val="007A39C5"/>
    <w:rsid w:val="008B6ADC"/>
    <w:rsid w:val="008C7FFB"/>
    <w:rsid w:val="0099378B"/>
    <w:rsid w:val="00A005B7"/>
    <w:rsid w:val="00A05C8A"/>
    <w:rsid w:val="00A70C09"/>
    <w:rsid w:val="00A81EBC"/>
    <w:rsid w:val="00B62EC7"/>
    <w:rsid w:val="00B83D8D"/>
    <w:rsid w:val="00BB64F4"/>
    <w:rsid w:val="00BE3C0D"/>
    <w:rsid w:val="00C223D0"/>
    <w:rsid w:val="00C8081B"/>
    <w:rsid w:val="00CE3C7F"/>
    <w:rsid w:val="00D87A62"/>
    <w:rsid w:val="00D95C49"/>
    <w:rsid w:val="00D96727"/>
    <w:rsid w:val="00DD10B7"/>
    <w:rsid w:val="00ED6C83"/>
    <w:rsid w:val="00F50E83"/>
    <w:rsid w:val="00FC1999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0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C09"/>
    <w:rPr>
      <w:color w:val="0000FF"/>
      <w:u w:val="single"/>
    </w:rPr>
  </w:style>
  <w:style w:type="paragraph" w:customStyle="1" w:styleId="PreprintHeading">
    <w:name w:val="Preprint Heading"/>
    <w:basedOn w:val="Normal"/>
    <w:rsid w:val="00A70C09"/>
    <w:pPr>
      <w:widowControl/>
      <w:wordWrap/>
      <w:autoSpaceDE/>
      <w:autoSpaceDN/>
    </w:pPr>
    <w:rPr>
      <w:rFonts w:ascii="Times New Roman"/>
      <w:b/>
      <w:kern w:val="0"/>
      <w:sz w:val="17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7496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7496"/>
    <w:rPr>
      <w:rFonts w:ascii="Batang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AD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B6ADC"/>
    <w:rPr>
      <w:b/>
      <w:bCs/>
    </w:rPr>
  </w:style>
  <w:style w:type="paragraph" w:customStyle="1" w:styleId="msotitle3">
    <w:name w:val="msotitle3"/>
    <w:rsid w:val="008B6ADC"/>
    <w:rPr>
      <w:rFonts w:ascii="Gill Sans MT" w:eastAsia="Times New Roman" w:hAnsi="Gill Sans MT"/>
      <w:b/>
      <w:bCs/>
      <w:color w:val="000000"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C09"/>
    <w:rPr>
      <w:color w:val="0000FF"/>
      <w:u w:val="single"/>
    </w:rPr>
  </w:style>
  <w:style w:type="paragraph" w:customStyle="1" w:styleId="PreprintHeading">
    <w:name w:val="Preprint Heading"/>
    <w:basedOn w:val="a"/>
    <w:rsid w:val="00A70C09"/>
    <w:pPr>
      <w:widowControl/>
      <w:wordWrap/>
      <w:autoSpaceDE/>
      <w:autoSpaceDN/>
    </w:pPr>
    <w:rPr>
      <w:rFonts w:ascii="Times New Roman"/>
      <w:b/>
      <w:kern w:val="0"/>
      <w:sz w:val="17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496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496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9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96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responding-author@emailadd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presenter@emailaddress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ELECTROSPUN TiO2 ELECTRODES FOR QUASI-SOLID STATE DYE-SENSITIZED SOLAR CELL</vt:lpstr>
    </vt:vector>
  </TitlesOfParts>
  <Company>SKKU</Company>
  <LinksUpToDate>false</LinksUpToDate>
  <CharactersWithSpaces>1822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mailto:fdsg@snu.ac.kr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ELECTROSPUN TiO2 ELECTRODES FOR QUASI-SOLID STATE DYE-SENSITIZED SOLAR CELL</dc:title>
  <dc:creator>이준영</dc:creator>
  <cp:lastModifiedBy>Malik</cp:lastModifiedBy>
  <cp:revision>2</cp:revision>
  <dcterms:created xsi:type="dcterms:W3CDTF">2017-12-25T16:50:00Z</dcterms:created>
  <dcterms:modified xsi:type="dcterms:W3CDTF">2017-12-25T16:50:00Z</dcterms:modified>
</cp:coreProperties>
</file>